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A9" w:rsidRPr="00F7594D" w:rsidRDefault="003832A9" w:rsidP="00AB3B5F">
      <w:pPr>
        <w:suppressAutoHyphens w:val="0"/>
        <w:spacing w:line="360" w:lineRule="auto"/>
        <w:ind w:firstLine="709"/>
        <w:jc w:val="both"/>
        <w:rPr>
          <w:b/>
          <w:color w:val="171717" w:themeColor="background2" w:themeShade="1A"/>
          <w:sz w:val="20"/>
          <w:szCs w:val="20"/>
        </w:rPr>
      </w:pPr>
      <w:r w:rsidRPr="00F7594D">
        <w:rPr>
          <w:b/>
          <w:color w:val="171717" w:themeColor="background2" w:themeShade="1A"/>
          <w:sz w:val="20"/>
          <w:szCs w:val="20"/>
        </w:rPr>
        <w:t xml:space="preserve">Добрый день! Меня зовут Гуренко Виктория, я являюсь студенткой нашего факультета, выпускницей кафедры дефектологии и специальной психологии. </w:t>
      </w:r>
    </w:p>
    <w:p w:rsidR="00AB3B5F" w:rsidRPr="003832A9" w:rsidRDefault="003832A9" w:rsidP="003832A9">
      <w:pPr>
        <w:spacing w:line="360" w:lineRule="auto"/>
        <w:ind w:firstLine="567"/>
        <w:jc w:val="both"/>
        <w:rPr>
          <w:bCs/>
          <w:color w:val="171717" w:themeColor="background2" w:themeShade="1A"/>
          <w:sz w:val="20"/>
          <w:szCs w:val="20"/>
        </w:rPr>
      </w:pPr>
      <w:r w:rsidRPr="00F7594D">
        <w:rPr>
          <w:b/>
          <w:color w:val="171717" w:themeColor="background2" w:themeShade="1A"/>
          <w:sz w:val="20"/>
          <w:szCs w:val="20"/>
        </w:rPr>
        <w:t>Тема моего доклада: «Коррекция внимания младших школьников с тяжёлой умственной отсталостью».</w:t>
      </w:r>
      <w:r>
        <w:rPr>
          <w:color w:val="171717" w:themeColor="background2" w:themeShade="1A"/>
          <w:sz w:val="20"/>
          <w:szCs w:val="20"/>
        </w:rPr>
        <w:t xml:space="preserve"> </w:t>
      </w:r>
      <w:r w:rsidR="00C0470C">
        <w:rPr>
          <w:color w:val="171717" w:themeColor="background2" w:themeShade="1A"/>
          <w:sz w:val="20"/>
          <w:szCs w:val="20"/>
        </w:rPr>
        <w:t xml:space="preserve">Вследствие недоразвития всей познавательной сферы, внимание умственно отсталых детей сильно нарушено: малая устойчивость, трудности привлечения и распределения, замедленность переключения, низкая концентрация. Эти недостатки внимания приводят к </w:t>
      </w:r>
      <w:proofErr w:type="spellStart"/>
      <w:r w:rsidR="00C0470C">
        <w:rPr>
          <w:color w:val="171717" w:themeColor="background2" w:themeShade="1A"/>
          <w:sz w:val="20"/>
          <w:szCs w:val="20"/>
        </w:rPr>
        <w:t>неусвоению</w:t>
      </w:r>
      <w:proofErr w:type="spellEnd"/>
      <w:r w:rsidR="00C0470C">
        <w:rPr>
          <w:color w:val="171717" w:themeColor="background2" w:themeShade="1A"/>
          <w:sz w:val="20"/>
          <w:szCs w:val="20"/>
        </w:rPr>
        <w:t xml:space="preserve"> учебного материала. </w:t>
      </w:r>
      <w:bookmarkStart w:id="0" w:name="_GoBack"/>
      <w:bookmarkEnd w:id="0"/>
      <w:r>
        <w:rPr>
          <w:color w:val="171717" w:themeColor="background2" w:themeShade="1A"/>
          <w:sz w:val="20"/>
          <w:szCs w:val="20"/>
        </w:rPr>
        <w:t>Вместе с научным руководителем нами были выбраны из огромного кол-ва подходящие методики для данного контингента детей.  Это самые упрощённые и доступные задания - «Найди и раскрась» (</w:t>
      </w:r>
      <w:r>
        <w:rPr>
          <w:bCs/>
          <w:color w:val="171717" w:themeColor="background2" w:themeShade="1A"/>
          <w:sz w:val="20"/>
          <w:szCs w:val="20"/>
        </w:rPr>
        <w:t>ц</w:t>
      </w:r>
      <w:r w:rsidRPr="00AB3B5F">
        <w:rPr>
          <w:bCs/>
          <w:color w:val="171717" w:themeColor="background2" w:themeShade="1A"/>
          <w:sz w:val="20"/>
          <w:szCs w:val="20"/>
        </w:rPr>
        <w:t>ель: исследование продуктивности внимания, определение его устойчив</w:t>
      </w:r>
      <w:r>
        <w:rPr>
          <w:bCs/>
          <w:color w:val="171717" w:themeColor="background2" w:themeShade="1A"/>
          <w:sz w:val="20"/>
          <w:szCs w:val="20"/>
        </w:rPr>
        <w:t>ости, объёма и переключаемости</w:t>
      </w:r>
      <w:r>
        <w:rPr>
          <w:color w:val="171717" w:themeColor="background2" w:themeShade="1A"/>
          <w:sz w:val="20"/>
          <w:szCs w:val="20"/>
        </w:rPr>
        <w:t xml:space="preserve">), </w:t>
      </w:r>
      <w:r w:rsidR="00AB3B5F" w:rsidRPr="00AB3B5F">
        <w:rPr>
          <w:color w:val="171717" w:themeColor="background2" w:themeShade="1A"/>
          <w:sz w:val="20"/>
          <w:szCs w:val="20"/>
        </w:rPr>
        <w:t>«Узнай животных», методика «Что пропало?»</w:t>
      </w:r>
      <w:r>
        <w:rPr>
          <w:color w:val="171717" w:themeColor="background2" w:themeShade="1A"/>
          <w:sz w:val="20"/>
          <w:szCs w:val="20"/>
        </w:rPr>
        <w:t xml:space="preserve"> (</w:t>
      </w:r>
      <w:r>
        <w:rPr>
          <w:bCs/>
          <w:color w:val="171717" w:themeColor="background2" w:themeShade="1A"/>
          <w:sz w:val="20"/>
          <w:szCs w:val="20"/>
        </w:rPr>
        <w:t>ц</w:t>
      </w:r>
      <w:r w:rsidRPr="00AB3B5F">
        <w:rPr>
          <w:bCs/>
          <w:color w:val="171717" w:themeColor="background2" w:themeShade="1A"/>
          <w:sz w:val="20"/>
          <w:szCs w:val="20"/>
        </w:rPr>
        <w:t xml:space="preserve">ель – </w:t>
      </w:r>
      <w:r w:rsidRPr="00AB3B5F">
        <w:rPr>
          <w:bCs/>
          <w:color w:val="222A35" w:themeColor="text2" w:themeShade="80"/>
          <w:sz w:val="20"/>
          <w:szCs w:val="20"/>
        </w:rPr>
        <w:t xml:space="preserve">активизация </w:t>
      </w:r>
      <w:r w:rsidRPr="00AB3B5F">
        <w:rPr>
          <w:color w:val="222A35" w:themeColor="text2" w:themeShade="80"/>
          <w:sz w:val="20"/>
          <w:szCs w:val="20"/>
          <w:shd w:val="clear" w:color="auto" w:fill="FFFFFF"/>
        </w:rPr>
        <w:t>психических процессов: восприятие, внимания, памяти, умения ориентироваться в пространстве; определ</w:t>
      </w:r>
      <w:r>
        <w:rPr>
          <w:color w:val="222A35" w:themeColor="text2" w:themeShade="80"/>
          <w:sz w:val="20"/>
          <w:szCs w:val="20"/>
          <w:shd w:val="clear" w:color="auto" w:fill="FFFFFF"/>
        </w:rPr>
        <w:t>ение переключаемости внимания</w:t>
      </w:r>
      <w:r>
        <w:rPr>
          <w:color w:val="171717" w:themeColor="background2" w:themeShade="1A"/>
          <w:sz w:val="20"/>
          <w:szCs w:val="20"/>
        </w:rPr>
        <w:t>)</w:t>
      </w:r>
      <w:r w:rsidR="00AB3B5F" w:rsidRPr="00AB3B5F">
        <w:rPr>
          <w:color w:val="171717" w:themeColor="background2" w:themeShade="1A"/>
          <w:sz w:val="20"/>
          <w:szCs w:val="20"/>
        </w:rPr>
        <w:t>, методика «Дорисуй», методика «Соедини по точкам»</w:t>
      </w:r>
      <w:r>
        <w:rPr>
          <w:color w:val="171717" w:themeColor="background2" w:themeShade="1A"/>
          <w:sz w:val="20"/>
          <w:szCs w:val="20"/>
        </w:rPr>
        <w:t xml:space="preserve"> (</w:t>
      </w:r>
      <w:r>
        <w:rPr>
          <w:rFonts w:eastAsia="Arial Unicode MS"/>
          <w:bCs/>
          <w:color w:val="171717" w:themeColor="background2" w:themeShade="1A"/>
          <w:sz w:val="20"/>
          <w:szCs w:val="20"/>
        </w:rPr>
        <w:t>ц</w:t>
      </w:r>
      <w:r w:rsidRPr="00AB3B5F">
        <w:rPr>
          <w:rFonts w:eastAsia="Arial Unicode MS"/>
          <w:bCs/>
          <w:color w:val="171717" w:themeColor="background2" w:themeShade="1A"/>
          <w:sz w:val="20"/>
          <w:szCs w:val="20"/>
        </w:rPr>
        <w:t>ель – исследование уровня концентрации, распределе</w:t>
      </w:r>
      <w:r>
        <w:rPr>
          <w:rFonts w:eastAsia="Arial Unicode MS"/>
          <w:bCs/>
          <w:color w:val="171717" w:themeColor="background2" w:themeShade="1A"/>
          <w:sz w:val="20"/>
          <w:szCs w:val="20"/>
        </w:rPr>
        <w:t>ния, переключения внимания</w:t>
      </w:r>
      <w:r>
        <w:rPr>
          <w:color w:val="171717" w:themeColor="background2" w:themeShade="1A"/>
          <w:sz w:val="20"/>
          <w:szCs w:val="20"/>
        </w:rPr>
        <w:t>)</w:t>
      </w:r>
      <w:r w:rsidR="00AB3B5F" w:rsidRPr="00AB3B5F">
        <w:rPr>
          <w:color w:val="171717" w:themeColor="background2" w:themeShade="1A"/>
          <w:sz w:val="20"/>
          <w:szCs w:val="20"/>
        </w:rPr>
        <w:t xml:space="preserve">. </w:t>
      </w:r>
      <w:r w:rsidRPr="00F7594D">
        <w:rPr>
          <w:b/>
          <w:color w:val="222A35" w:themeColor="text2" w:themeShade="80"/>
          <w:kern w:val="0"/>
          <w:sz w:val="20"/>
          <w:szCs w:val="20"/>
          <w:lang w:eastAsia="ru-RU"/>
        </w:rPr>
        <w:t xml:space="preserve">Далее </w:t>
      </w:r>
      <w:r w:rsidRPr="00F7594D">
        <w:rPr>
          <w:b/>
          <w:color w:val="171717" w:themeColor="background2" w:themeShade="1A"/>
          <w:sz w:val="20"/>
          <w:szCs w:val="20"/>
        </w:rPr>
        <w:t>н</w:t>
      </w:r>
      <w:r w:rsidR="00AB3B5F" w:rsidRPr="00F7594D">
        <w:rPr>
          <w:b/>
          <w:color w:val="171717" w:themeColor="background2" w:themeShade="1A"/>
          <w:sz w:val="20"/>
          <w:szCs w:val="20"/>
        </w:rPr>
        <w:t>ами были определены критерии оценивания по каждой методике:</w:t>
      </w:r>
      <w:r w:rsidR="00AB3B5F" w:rsidRPr="00AB3B5F">
        <w:rPr>
          <w:color w:val="171717" w:themeColor="background2" w:themeShade="1A"/>
          <w:sz w:val="20"/>
          <w:szCs w:val="20"/>
        </w:rPr>
        <w:t xml:space="preserve"> </w:t>
      </w:r>
    </w:p>
    <w:p w:rsidR="00AB3B5F" w:rsidRPr="00AB3B5F" w:rsidRDefault="00AB3B5F" w:rsidP="00AB3B5F">
      <w:pPr>
        <w:pStyle w:val="a3"/>
        <w:numPr>
          <w:ilvl w:val="0"/>
          <w:numId w:val="1"/>
        </w:numPr>
        <w:spacing w:line="360" w:lineRule="auto"/>
        <w:ind w:left="0" w:firstLine="1134"/>
        <w:jc w:val="both"/>
        <w:rPr>
          <w:color w:val="171717" w:themeColor="background2" w:themeShade="1A"/>
          <w:sz w:val="20"/>
          <w:szCs w:val="20"/>
        </w:rPr>
      </w:pPr>
      <w:r w:rsidRPr="00AB3B5F">
        <w:rPr>
          <w:color w:val="171717" w:themeColor="background2" w:themeShade="1A"/>
          <w:sz w:val="20"/>
          <w:szCs w:val="20"/>
        </w:rPr>
        <w:t xml:space="preserve">Понимание и усвоение инструкции. </w:t>
      </w:r>
    </w:p>
    <w:p w:rsidR="00AB3B5F" w:rsidRPr="00AB3B5F" w:rsidRDefault="00AB3B5F" w:rsidP="00AB3B5F">
      <w:pPr>
        <w:pStyle w:val="a3"/>
        <w:numPr>
          <w:ilvl w:val="0"/>
          <w:numId w:val="1"/>
        </w:numPr>
        <w:spacing w:line="360" w:lineRule="auto"/>
        <w:ind w:left="357" w:firstLine="777"/>
        <w:jc w:val="both"/>
        <w:rPr>
          <w:color w:val="171717" w:themeColor="background2" w:themeShade="1A"/>
          <w:sz w:val="20"/>
          <w:szCs w:val="20"/>
        </w:rPr>
      </w:pPr>
      <w:r w:rsidRPr="00AB3B5F">
        <w:rPr>
          <w:color w:val="171717" w:themeColor="background2" w:themeShade="1A"/>
          <w:sz w:val="20"/>
          <w:szCs w:val="20"/>
        </w:rPr>
        <w:t xml:space="preserve">Уровень концентрации на задании (самостоятельно/с помощью). </w:t>
      </w:r>
    </w:p>
    <w:p w:rsidR="00AB3B5F" w:rsidRPr="00AB3B5F" w:rsidRDefault="00AB3B5F" w:rsidP="00AB3B5F">
      <w:pPr>
        <w:pStyle w:val="a3"/>
        <w:numPr>
          <w:ilvl w:val="0"/>
          <w:numId w:val="1"/>
        </w:num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AB3B5F">
        <w:rPr>
          <w:color w:val="171717" w:themeColor="background2" w:themeShade="1A"/>
          <w:sz w:val="20"/>
          <w:szCs w:val="20"/>
        </w:rPr>
        <w:t xml:space="preserve">Проявление интереса при выполнении задания. </w:t>
      </w:r>
    </w:p>
    <w:p w:rsidR="00AB3B5F" w:rsidRPr="00AB3B5F" w:rsidRDefault="00AB3B5F" w:rsidP="00AB3B5F">
      <w:pPr>
        <w:pStyle w:val="a3"/>
        <w:numPr>
          <w:ilvl w:val="0"/>
          <w:numId w:val="1"/>
        </w:num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AB3B5F">
        <w:rPr>
          <w:color w:val="171717" w:themeColor="background2" w:themeShade="1A"/>
          <w:sz w:val="20"/>
          <w:szCs w:val="20"/>
        </w:rPr>
        <w:t xml:space="preserve">Правильность выполнения задания. </w:t>
      </w:r>
    </w:p>
    <w:p w:rsidR="00AB3B5F" w:rsidRPr="00AB3B5F" w:rsidRDefault="00AB3B5F" w:rsidP="00AB3B5F">
      <w:pPr>
        <w:pStyle w:val="a3"/>
        <w:numPr>
          <w:ilvl w:val="0"/>
          <w:numId w:val="1"/>
        </w:num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AB3B5F">
        <w:rPr>
          <w:color w:val="171717" w:themeColor="background2" w:themeShade="1A"/>
          <w:sz w:val="20"/>
          <w:szCs w:val="20"/>
        </w:rPr>
        <w:t xml:space="preserve">Уровень работоспособности. </w:t>
      </w:r>
    </w:p>
    <w:p w:rsidR="00AB3B5F" w:rsidRPr="00AB3B5F" w:rsidRDefault="00AB3B5F" w:rsidP="00AB3B5F">
      <w:pPr>
        <w:pStyle w:val="a3"/>
        <w:numPr>
          <w:ilvl w:val="0"/>
          <w:numId w:val="1"/>
        </w:num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AB3B5F">
        <w:rPr>
          <w:color w:val="171717" w:themeColor="background2" w:themeShade="1A"/>
          <w:sz w:val="20"/>
          <w:szCs w:val="20"/>
        </w:rPr>
        <w:t xml:space="preserve">Использование помощи учащимся. </w:t>
      </w:r>
    </w:p>
    <w:p w:rsidR="00AB3B5F" w:rsidRPr="00AB3B5F" w:rsidRDefault="00AB3B5F" w:rsidP="00AB3B5F">
      <w:pPr>
        <w:spacing w:line="360" w:lineRule="auto"/>
        <w:ind w:firstLine="709"/>
        <w:jc w:val="both"/>
        <w:rPr>
          <w:color w:val="171717" w:themeColor="background2" w:themeShade="1A"/>
          <w:sz w:val="20"/>
          <w:szCs w:val="20"/>
        </w:rPr>
      </w:pPr>
      <w:r w:rsidRPr="00AB3B5F">
        <w:rPr>
          <w:color w:val="171717" w:themeColor="background2" w:themeShade="1A"/>
          <w:sz w:val="20"/>
          <w:szCs w:val="20"/>
        </w:rPr>
        <w:t xml:space="preserve">По каждому критерию определены баллы: 3 балла – высокий уровень выполнения задания (учащийся понял и усвоил инструкцию, самостоятельное выполнение задания, высокое проявление интереса, правильное выполнение задания, высокий уровень работоспособности), 2 балла – средний уровень выполнения задания (учащийся понял инструкцию после повтора или разъяснения, частичная помощь при выполнении задания, среднее проявление интереса к заданию, с ошибками, средний уровень работоспособности), 1 балл – ниже среднего (учащийся не понял инструкцию, частичная/полная помощь учителя, проявление интереса после активизации, низкий уровень концентрации, допускает большое количество ошибок, низкий уровень работоспособности), 0 баллов – низкий уровень (учащийся не справился с заданием, низкая концентрация внимания, неправильность выполнения задания, низкая работоспособность, интереса к заданию учащийся не проявил).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701"/>
        <w:gridCol w:w="1553"/>
      </w:tblGrid>
      <w:tr w:rsidR="00AB3B5F" w:rsidRPr="00AB3B5F" w:rsidTr="00310800">
        <w:trPr>
          <w:trHeight w:val="756"/>
        </w:trPr>
        <w:tc>
          <w:tcPr>
            <w:tcW w:w="1696" w:type="dxa"/>
            <w:vMerge w:val="restart"/>
          </w:tcPr>
          <w:p w:rsidR="00AB3B5F" w:rsidRPr="00AB3B5F" w:rsidRDefault="003832A9" w:rsidP="00310800">
            <w:pPr>
              <w:suppressAutoHyphens w:val="0"/>
              <w:spacing w:after="160" w:line="259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rFonts w:eastAsia="Arial Unicode MS"/>
                <w:bCs/>
                <w:i/>
                <w:color w:val="171717" w:themeColor="background2" w:themeShade="1A"/>
                <w:sz w:val="20"/>
                <w:szCs w:val="20"/>
              </w:rPr>
              <w:t xml:space="preserve">     </w:t>
            </w:r>
          </w:p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Название методики</w:t>
            </w:r>
          </w:p>
        </w:tc>
        <w:tc>
          <w:tcPr>
            <w:tcW w:w="4395" w:type="dxa"/>
            <w:vMerge w:val="restart"/>
          </w:tcPr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br/>
              <w:t>Критерии оценивания</w:t>
            </w:r>
          </w:p>
        </w:tc>
        <w:tc>
          <w:tcPr>
            <w:tcW w:w="3254" w:type="dxa"/>
            <w:gridSpan w:val="2"/>
          </w:tcPr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Баллы</w:t>
            </w:r>
          </w:p>
        </w:tc>
      </w:tr>
      <w:tr w:rsidR="00AB3B5F" w:rsidRPr="00AB3B5F" w:rsidTr="00F7594D">
        <w:trPr>
          <w:trHeight w:val="401"/>
        </w:trPr>
        <w:tc>
          <w:tcPr>
            <w:tcW w:w="1696" w:type="dxa"/>
            <w:vMerge/>
            <w:textDirection w:val="btLr"/>
          </w:tcPr>
          <w:p w:rsidR="00AB3B5F" w:rsidRPr="00AB3B5F" w:rsidRDefault="00AB3B5F" w:rsidP="00310800">
            <w:pPr>
              <w:spacing w:line="360" w:lineRule="auto"/>
              <w:ind w:left="113" w:right="113"/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КГ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ЭГ</w:t>
            </w:r>
          </w:p>
        </w:tc>
      </w:tr>
      <w:tr w:rsidR="00AB3B5F" w:rsidRPr="00AB3B5F" w:rsidTr="00310800">
        <w:tc>
          <w:tcPr>
            <w:tcW w:w="1696" w:type="dxa"/>
            <w:vMerge w:val="restart"/>
            <w:textDirection w:val="btLr"/>
            <w:vAlign w:val="center"/>
          </w:tcPr>
          <w:p w:rsidR="00AB3B5F" w:rsidRPr="00AB3B5F" w:rsidRDefault="00AB3B5F" w:rsidP="00310800">
            <w:pPr>
              <w:spacing w:after="160" w:line="259" w:lineRule="auto"/>
              <w:ind w:left="113" w:right="113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 xml:space="preserve">Методика </w:t>
            </w:r>
            <w:r w:rsidRPr="00AB3B5F">
              <w:rPr>
                <w:color w:val="171717" w:themeColor="background2" w:themeShade="1A"/>
                <w:sz w:val="20"/>
                <w:szCs w:val="20"/>
              </w:rPr>
              <w:br/>
              <w:t>«Найди и раскрась»</w:t>
            </w: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Понимание и усвоение инструкции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4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Уровень концентрации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Проявление интереса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4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Правильность выполнения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Уровень работоспособности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Использование помощи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2</w:t>
            </w:r>
          </w:p>
        </w:tc>
      </w:tr>
    </w:tbl>
    <w:p w:rsidR="00AB3B5F" w:rsidRPr="003832A9" w:rsidRDefault="00AB3B5F" w:rsidP="00AB3B5F">
      <w:pPr>
        <w:pStyle w:val="24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</w:pPr>
      <w:r w:rsidRPr="003832A9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Основой </w:t>
      </w:r>
      <w:r w:rsidRPr="003832A9">
        <w:rPr>
          <w:rFonts w:ascii="Times New Roman" w:hAnsi="Times New Roman" w:cs="Times New Roman"/>
          <w:b/>
          <w:bCs/>
          <w:i/>
          <w:color w:val="171717" w:themeColor="background2" w:themeShade="1A"/>
          <w:sz w:val="20"/>
          <w:szCs w:val="20"/>
        </w:rPr>
        <w:t>формирующего эксперимента</w:t>
      </w:r>
      <w:r w:rsidRPr="003832A9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 явля</w:t>
      </w:r>
      <w:r w:rsidR="003832A9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лась </w:t>
      </w:r>
      <w:r w:rsidRPr="003832A9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подборка нетрадиционных техник рисования, как методов коррекции внимания младших школьников с тяжёлыми нарушениями интеллекта. </w:t>
      </w:r>
      <w:r w:rsid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Не </w:t>
      </w:r>
      <w:r w:rsid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lastRenderedPageBreak/>
        <w:t xml:space="preserve">зря эта дисциплина преподаётся на нашей кафедре (Методика изобразительной деятельности (специальная). </w:t>
      </w:r>
      <w:proofErr w:type="gramStart"/>
      <w:r w:rsidR="003832A9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Например: штамповка, волшебные нити, </w:t>
      </w:r>
      <w:r w:rsid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рисование ватными палочками, рисование смятой бумагой, </w:t>
      </w:r>
      <w:proofErr w:type="spellStart"/>
      <w:r w:rsid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кляксография</w:t>
      </w:r>
      <w:proofErr w:type="spellEnd"/>
      <w:r w:rsid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 и т.д.). </w:t>
      </w:r>
      <w:proofErr w:type="gramEnd"/>
    </w:p>
    <w:p w:rsidR="00AB3B5F" w:rsidRPr="00AB3B5F" w:rsidRDefault="00AB3B5F" w:rsidP="00AB3B5F">
      <w:pPr>
        <w:pStyle w:val="24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</w:pPr>
      <w:r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В результате использования данной подборки нетрадиционных техник рисования было выявлено, что они имеют </w:t>
      </w:r>
      <w:r w:rsidR="00F7594D"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небольшое, но </w:t>
      </w:r>
      <w:r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положительное влияние на развитие высших психических функций, в частности внимания, у учащихся с тяжёлой умственной отсталостью</w:t>
      </w:r>
      <w:r w:rsidRPr="00AB3B5F"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  <w:t xml:space="preserve">. На констатирующем этапе эксперимента видно, что после проведения коррекционных методик уровень развития внимания учащихся несколько повысился. К тому же, при сравнении творческих работ детей, заметно, что нетрадиционные техники рисования улучшают их способности – основные средства выразительности (точка, пятно, линия, цвет и так далее). </w:t>
      </w:r>
    </w:p>
    <w:p w:rsidR="00AB3B5F" w:rsidRPr="00F7594D" w:rsidRDefault="00AB3B5F" w:rsidP="00F7594D">
      <w:pPr>
        <w:pStyle w:val="24"/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</w:pPr>
      <w:r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Сводные данные по проведённым методикам на контрольном </w:t>
      </w:r>
      <w:r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br/>
        <w:t xml:space="preserve">                        этапе эксперимента</w:t>
      </w:r>
    </w:p>
    <w:p w:rsidR="00AB3B5F" w:rsidRPr="00AB3B5F" w:rsidRDefault="00AB3B5F" w:rsidP="00AB3B5F">
      <w:pPr>
        <w:pStyle w:val="24"/>
        <w:spacing w:after="0" w:line="240" w:lineRule="auto"/>
        <w:jc w:val="both"/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701"/>
        <w:gridCol w:w="1553"/>
      </w:tblGrid>
      <w:tr w:rsidR="00AB3B5F" w:rsidRPr="00AB3B5F" w:rsidTr="00310800">
        <w:trPr>
          <w:trHeight w:val="756"/>
        </w:trPr>
        <w:tc>
          <w:tcPr>
            <w:tcW w:w="1696" w:type="dxa"/>
            <w:vMerge w:val="restart"/>
          </w:tcPr>
          <w:p w:rsidR="00AB3B5F" w:rsidRPr="00AB3B5F" w:rsidRDefault="00AB3B5F" w:rsidP="00310800">
            <w:pPr>
              <w:suppressAutoHyphens w:val="0"/>
              <w:spacing w:after="160" w:line="259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</w:p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Название методики</w:t>
            </w:r>
          </w:p>
        </w:tc>
        <w:tc>
          <w:tcPr>
            <w:tcW w:w="4395" w:type="dxa"/>
            <w:vMerge w:val="restart"/>
          </w:tcPr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br/>
              <w:t>Критерии оценивания</w:t>
            </w:r>
          </w:p>
        </w:tc>
        <w:tc>
          <w:tcPr>
            <w:tcW w:w="3254" w:type="dxa"/>
            <w:gridSpan w:val="2"/>
          </w:tcPr>
          <w:p w:rsidR="00AB3B5F" w:rsidRPr="00AB3B5F" w:rsidRDefault="00AB3B5F" w:rsidP="00310800">
            <w:pPr>
              <w:spacing w:line="360" w:lineRule="auto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Баллы</w:t>
            </w:r>
          </w:p>
        </w:tc>
      </w:tr>
      <w:tr w:rsidR="00AB3B5F" w:rsidRPr="00AB3B5F" w:rsidTr="00310800">
        <w:tc>
          <w:tcPr>
            <w:tcW w:w="1696" w:type="dxa"/>
            <w:vMerge w:val="restart"/>
            <w:textDirection w:val="btLr"/>
            <w:vAlign w:val="center"/>
          </w:tcPr>
          <w:p w:rsidR="00AB3B5F" w:rsidRPr="00AB3B5F" w:rsidRDefault="00AB3B5F" w:rsidP="00310800">
            <w:pPr>
              <w:spacing w:after="160" w:line="259" w:lineRule="auto"/>
              <w:ind w:left="113" w:right="113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 xml:space="preserve">Методика </w:t>
            </w:r>
            <w:r w:rsidRPr="00AB3B5F">
              <w:rPr>
                <w:color w:val="171717" w:themeColor="background2" w:themeShade="1A"/>
                <w:sz w:val="20"/>
                <w:szCs w:val="20"/>
              </w:rPr>
              <w:br/>
              <w:t>«Найди и раскрась»</w:t>
            </w: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Понимание и усвоение инструкции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4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Уровень концентрации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4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Проявление интереса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4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Правильность выполнения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Уровень работоспособности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</w:tr>
      <w:tr w:rsidR="00AB3B5F" w:rsidRPr="00AB3B5F" w:rsidTr="00310800">
        <w:tc>
          <w:tcPr>
            <w:tcW w:w="1696" w:type="dxa"/>
            <w:vMerge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4395" w:type="dxa"/>
          </w:tcPr>
          <w:p w:rsidR="00AB3B5F" w:rsidRPr="00AB3B5F" w:rsidRDefault="00AB3B5F" w:rsidP="00310800">
            <w:pPr>
              <w:spacing w:line="24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Использование помощи</w:t>
            </w:r>
          </w:p>
        </w:tc>
        <w:tc>
          <w:tcPr>
            <w:tcW w:w="1701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B3B5F" w:rsidRPr="00AB3B5F" w:rsidRDefault="00AB3B5F" w:rsidP="00310800">
            <w:pPr>
              <w:spacing w:line="360" w:lineRule="auto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AB3B5F">
              <w:rPr>
                <w:color w:val="171717" w:themeColor="background2" w:themeShade="1A"/>
                <w:sz w:val="20"/>
                <w:szCs w:val="20"/>
              </w:rPr>
              <w:t>1</w:t>
            </w:r>
          </w:p>
        </w:tc>
      </w:tr>
    </w:tbl>
    <w:p w:rsidR="00AB3B5F" w:rsidRPr="00AB3B5F" w:rsidRDefault="00AB3B5F" w:rsidP="00AB3B5F">
      <w:pPr>
        <w:pStyle w:val="24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</w:pPr>
      <w:r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Сравнивания результаты констатирующего и контрольного этапов эксперимента можно сде6лать выводы, что оцениваемые нами критерии улучшились не сильно.</w:t>
      </w:r>
      <w:r w:rsidRPr="00AB3B5F"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  <w:t xml:space="preserve"> Естественно это связано с контингентом детей, с которыми проводился эксперимент (ЭГ). Однако, можно заметить, что в некоторых случаях повышалась концентрация внимания учащихся при выполнении заданий, а также повышался уровень работоспособности и проявления интереса. Правильность выполнения заданий по-прежнему остаётся на низком уровне. Понимание и усвоение инструкции также тяжело даётся детям. Использование помощи в некоторых случаях уменьшалось, дети иногда проявляли небольшое стремление выполнить задание самостоятельно, однако, при этом совершали многочисленные ошибки. Уровни переключаемости и устойчивости внимания повышались в некоторых случаях. </w:t>
      </w:r>
    </w:p>
    <w:p w:rsidR="00AB3B5F" w:rsidRPr="00AB3B5F" w:rsidRDefault="00AB3B5F" w:rsidP="00AB3B5F">
      <w:pPr>
        <w:pStyle w:val="24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</w:pPr>
      <w:r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Что касается контрольной группы,</w:t>
      </w:r>
      <w:r w:rsidRPr="00AB3B5F"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  <w:t xml:space="preserve"> у неё показатели уровня концентрации внимания, проявления интереса, работоспособности в некоторых случаях значительно повышались – с 1-го балла до 3-4.</w:t>
      </w:r>
      <w:r w:rsidRPr="00AB3B5F">
        <w:rPr>
          <w:bCs/>
          <w:color w:val="171717" w:themeColor="background2" w:themeShade="1A"/>
          <w:sz w:val="20"/>
          <w:szCs w:val="20"/>
        </w:rPr>
        <w:t xml:space="preserve"> </w:t>
      </w:r>
      <w:r w:rsidRPr="00AB3B5F">
        <w:rPr>
          <w:rFonts w:ascii="Times New Roman" w:hAnsi="Times New Roman" w:cs="Times New Roman"/>
          <w:bCs/>
          <w:color w:val="171717" w:themeColor="background2" w:themeShade="1A"/>
          <w:sz w:val="20"/>
          <w:szCs w:val="20"/>
        </w:rPr>
        <w:t xml:space="preserve">Использование помощи у данной группы детей иногда сводилось к нулю, дети стремились самостоятельно выполнить задание или вовсе начинали выполнять его без предварительной инструкции. Уровни переключаемости и устойчивости внимания также повышались.  </w:t>
      </w:r>
    </w:p>
    <w:p w:rsidR="00AB3B5F" w:rsidRPr="00F7594D" w:rsidRDefault="00AB3B5F" w:rsidP="00AB3B5F">
      <w:pPr>
        <w:pStyle w:val="24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</w:pPr>
      <w:r w:rsidRPr="00F7594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 xml:space="preserve">Можно сделать выводы, что данный метод коррекции внимания имеет место быть в образовательном процессе при длительном использовании и систематичности заданий. </w:t>
      </w:r>
    </w:p>
    <w:p w:rsidR="00AB3B5F" w:rsidRPr="00F7594D" w:rsidRDefault="00F303B7" w:rsidP="00AB3B5F">
      <w:pPr>
        <w:spacing w:line="360" w:lineRule="auto"/>
        <w:jc w:val="both"/>
        <w:rPr>
          <w:b/>
          <w:bCs/>
          <w:color w:val="171717" w:themeColor="background2" w:themeShade="1A"/>
          <w:sz w:val="20"/>
          <w:szCs w:val="20"/>
        </w:rPr>
      </w:pPr>
      <w:r>
        <w:rPr>
          <w:b/>
          <w:bCs/>
          <w:color w:val="171717" w:themeColor="background2" w:themeShade="1A"/>
          <w:sz w:val="20"/>
          <w:szCs w:val="20"/>
        </w:rPr>
        <w:t>1.</w:t>
      </w:r>
      <w:r w:rsidR="00AB3B5F" w:rsidRPr="00F7594D">
        <w:rPr>
          <w:b/>
          <w:bCs/>
          <w:color w:val="171717" w:themeColor="background2" w:themeShade="1A"/>
          <w:sz w:val="20"/>
          <w:szCs w:val="20"/>
        </w:rPr>
        <w:t xml:space="preserve">Мы составили психологическое описание одного из рисунков учащихся. </w:t>
      </w:r>
    </w:p>
    <w:p w:rsidR="00AB3B5F" w:rsidRPr="00AB3B5F" w:rsidRDefault="00F303B7" w:rsidP="00AB3B5F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>
        <w:rPr>
          <w:bCs/>
          <w:color w:val="171717" w:themeColor="background2" w:themeShade="1A"/>
          <w:sz w:val="20"/>
          <w:szCs w:val="20"/>
        </w:rPr>
        <w:t>2.</w:t>
      </w:r>
      <w:r w:rsidR="00AB3B5F" w:rsidRPr="00AB3B5F">
        <w:rPr>
          <w:bCs/>
          <w:color w:val="171717" w:themeColor="background2" w:themeShade="1A"/>
          <w:sz w:val="20"/>
          <w:szCs w:val="20"/>
        </w:rPr>
        <w:t xml:space="preserve">Для развития внимания учащихся с нарушением интеллекта нами были специально подобраны и упорядочены упражнения и задания, направленные на развитие зрительного и слухового внимания, увеличение объема внимания, уровня распределения, концентрацию, устойчивость. Общий объём пособия составляет 82 страницы, включая в себя не только задания и упражнения, но и различные методики изучения </w:t>
      </w:r>
      <w:r w:rsidR="00AB3B5F" w:rsidRPr="00AB3B5F">
        <w:rPr>
          <w:bCs/>
          <w:color w:val="171717" w:themeColor="background2" w:themeShade="1A"/>
          <w:sz w:val="20"/>
          <w:szCs w:val="20"/>
        </w:rPr>
        <w:lastRenderedPageBreak/>
        <w:t xml:space="preserve">внимания; список литературы, используемый для составления пособия и содержание.  </w:t>
      </w:r>
      <w:r w:rsidR="00F7594D">
        <w:rPr>
          <w:bCs/>
          <w:color w:val="171717" w:themeColor="background2" w:themeShade="1A"/>
          <w:sz w:val="20"/>
          <w:szCs w:val="20"/>
        </w:rPr>
        <w:t xml:space="preserve">А также составлена подборка нетрадиционных техник рисования, которые можно использовать в старших классах, включая в коррекционную работу. </w:t>
      </w:r>
      <w:r w:rsidR="00F7594D" w:rsidRPr="00F7594D">
        <w:rPr>
          <w:b/>
          <w:bCs/>
          <w:color w:val="171717" w:themeColor="background2" w:themeShade="1A"/>
          <w:sz w:val="20"/>
          <w:szCs w:val="20"/>
        </w:rPr>
        <w:t>Спасибо за внимание!</w:t>
      </w:r>
    </w:p>
    <w:sectPr w:rsidR="00AB3B5F" w:rsidRPr="00AB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8">
    <w:altName w:val="Times New Roman"/>
    <w:charset w:val="CC"/>
    <w:family w:val="auto"/>
    <w:pitch w:val="variable"/>
  </w:font>
  <w:font w:name="font19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5E27"/>
    <w:multiLevelType w:val="hybridMultilevel"/>
    <w:tmpl w:val="6AF0DC98"/>
    <w:lvl w:ilvl="0" w:tplc="28188D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5F"/>
    <w:rsid w:val="000004CC"/>
    <w:rsid w:val="0000060D"/>
    <w:rsid w:val="00003090"/>
    <w:rsid w:val="0000669C"/>
    <w:rsid w:val="00007E2D"/>
    <w:rsid w:val="00012501"/>
    <w:rsid w:val="000168B1"/>
    <w:rsid w:val="00030BD4"/>
    <w:rsid w:val="00031E20"/>
    <w:rsid w:val="000324BE"/>
    <w:rsid w:val="00032777"/>
    <w:rsid w:val="00033F8C"/>
    <w:rsid w:val="00041308"/>
    <w:rsid w:val="00046113"/>
    <w:rsid w:val="0004687B"/>
    <w:rsid w:val="000468D9"/>
    <w:rsid w:val="00046D5D"/>
    <w:rsid w:val="0004778A"/>
    <w:rsid w:val="00053AB0"/>
    <w:rsid w:val="00060421"/>
    <w:rsid w:val="0006179F"/>
    <w:rsid w:val="000625A1"/>
    <w:rsid w:val="00062720"/>
    <w:rsid w:val="0006374B"/>
    <w:rsid w:val="00063A3F"/>
    <w:rsid w:val="00063DC0"/>
    <w:rsid w:val="0007638F"/>
    <w:rsid w:val="00076F7A"/>
    <w:rsid w:val="00082EE3"/>
    <w:rsid w:val="00085F81"/>
    <w:rsid w:val="00090461"/>
    <w:rsid w:val="00091332"/>
    <w:rsid w:val="00091AFD"/>
    <w:rsid w:val="0009335F"/>
    <w:rsid w:val="00096ECD"/>
    <w:rsid w:val="000A2BA5"/>
    <w:rsid w:val="000A41E9"/>
    <w:rsid w:val="000A5635"/>
    <w:rsid w:val="000A5A0F"/>
    <w:rsid w:val="000C19DB"/>
    <w:rsid w:val="000C4B31"/>
    <w:rsid w:val="000C6A20"/>
    <w:rsid w:val="000D05A2"/>
    <w:rsid w:val="000D05B9"/>
    <w:rsid w:val="000D2149"/>
    <w:rsid w:val="000D25BA"/>
    <w:rsid w:val="000D4F09"/>
    <w:rsid w:val="000D5420"/>
    <w:rsid w:val="000D585E"/>
    <w:rsid w:val="000E1C97"/>
    <w:rsid w:val="000E217B"/>
    <w:rsid w:val="000E5D7A"/>
    <w:rsid w:val="000F070C"/>
    <w:rsid w:val="000F2FF6"/>
    <w:rsid w:val="000F54EF"/>
    <w:rsid w:val="000F6587"/>
    <w:rsid w:val="000F7604"/>
    <w:rsid w:val="00100723"/>
    <w:rsid w:val="00100984"/>
    <w:rsid w:val="00101CCB"/>
    <w:rsid w:val="00102203"/>
    <w:rsid w:val="00102716"/>
    <w:rsid w:val="00102E51"/>
    <w:rsid w:val="00106B0F"/>
    <w:rsid w:val="00106C8A"/>
    <w:rsid w:val="001073D5"/>
    <w:rsid w:val="00107443"/>
    <w:rsid w:val="00114D5A"/>
    <w:rsid w:val="00120457"/>
    <w:rsid w:val="00121F2A"/>
    <w:rsid w:val="00122840"/>
    <w:rsid w:val="001304C9"/>
    <w:rsid w:val="00131E28"/>
    <w:rsid w:val="00132185"/>
    <w:rsid w:val="0013228F"/>
    <w:rsid w:val="00132CE1"/>
    <w:rsid w:val="0013304C"/>
    <w:rsid w:val="00134136"/>
    <w:rsid w:val="00134E57"/>
    <w:rsid w:val="001558CE"/>
    <w:rsid w:val="00161BC9"/>
    <w:rsid w:val="0016346A"/>
    <w:rsid w:val="00164AA8"/>
    <w:rsid w:val="00164C84"/>
    <w:rsid w:val="001673F7"/>
    <w:rsid w:val="0017423A"/>
    <w:rsid w:val="001752D4"/>
    <w:rsid w:val="00175ECD"/>
    <w:rsid w:val="001816C4"/>
    <w:rsid w:val="00181F11"/>
    <w:rsid w:val="0018225D"/>
    <w:rsid w:val="0018376E"/>
    <w:rsid w:val="00184108"/>
    <w:rsid w:val="00184521"/>
    <w:rsid w:val="0018561F"/>
    <w:rsid w:val="00185E0D"/>
    <w:rsid w:val="001900CC"/>
    <w:rsid w:val="00194D1A"/>
    <w:rsid w:val="001A04BC"/>
    <w:rsid w:val="001A22B5"/>
    <w:rsid w:val="001B4C9A"/>
    <w:rsid w:val="001B4D2F"/>
    <w:rsid w:val="001B5B9D"/>
    <w:rsid w:val="001B5EBF"/>
    <w:rsid w:val="001C10A4"/>
    <w:rsid w:val="001C4BDB"/>
    <w:rsid w:val="001C64C6"/>
    <w:rsid w:val="001C7712"/>
    <w:rsid w:val="001C7753"/>
    <w:rsid w:val="001C786D"/>
    <w:rsid w:val="001D4B52"/>
    <w:rsid w:val="001D4C9C"/>
    <w:rsid w:val="001D4E34"/>
    <w:rsid w:val="001D4E44"/>
    <w:rsid w:val="001D5B78"/>
    <w:rsid w:val="001E59B4"/>
    <w:rsid w:val="001E6850"/>
    <w:rsid w:val="001F09EF"/>
    <w:rsid w:val="001F0A4C"/>
    <w:rsid w:val="001F20D1"/>
    <w:rsid w:val="001F61DF"/>
    <w:rsid w:val="00201BD8"/>
    <w:rsid w:val="0020416B"/>
    <w:rsid w:val="00205F04"/>
    <w:rsid w:val="00207322"/>
    <w:rsid w:val="002075B3"/>
    <w:rsid w:val="0021486F"/>
    <w:rsid w:val="00215E1A"/>
    <w:rsid w:val="00217AD5"/>
    <w:rsid w:val="00226EB2"/>
    <w:rsid w:val="002328E5"/>
    <w:rsid w:val="00232DFF"/>
    <w:rsid w:val="00233F5C"/>
    <w:rsid w:val="00233F60"/>
    <w:rsid w:val="00234DC4"/>
    <w:rsid w:val="00235B13"/>
    <w:rsid w:val="002417AF"/>
    <w:rsid w:val="00244BBF"/>
    <w:rsid w:val="00246463"/>
    <w:rsid w:val="002471A4"/>
    <w:rsid w:val="002471C0"/>
    <w:rsid w:val="00250A30"/>
    <w:rsid w:val="002529C8"/>
    <w:rsid w:val="002554D3"/>
    <w:rsid w:val="0025629C"/>
    <w:rsid w:val="00263E9D"/>
    <w:rsid w:val="0026786D"/>
    <w:rsid w:val="002708F1"/>
    <w:rsid w:val="00270BF6"/>
    <w:rsid w:val="00270DAA"/>
    <w:rsid w:val="00274532"/>
    <w:rsid w:val="00275E63"/>
    <w:rsid w:val="00277060"/>
    <w:rsid w:val="0028015D"/>
    <w:rsid w:val="002846F7"/>
    <w:rsid w:val="00285EE5"/>
    <w:rsid w:val="00287B44"/>
    <w:rsid w:val="00291636"/>
    <w:rsid w:val="00293358"/>
    <w:rsid w:val="002965F8"/>
    <w:rsid w:val="002A1B75"/>
    <w:rsid w:val="002A1FA1"/>
    <w:rsid w:val="002A2EED"/>
    <w:rsid w:val="002A3D83"/>
    <w:rsid w:val="002A4096"/>
    <w:rsid w:val="002B07DD"/>
    <w:rsid w:val="002B2EF7"/>
    <w:rsid w:val="002B4B2C"/>
    <w:rsid w:val="002B6350"/>
    <w:rsid w:val="002B73BE"/>
    <w:rsid w:val="002B75D8"/>
    <w:rsid w:val="002C095A"/>
    <w:rsid w:val="002C255A"/>
    <w:rsid w:val="002C444D"/>
    <w:rsid w:val="002C4E13"/>
    <w:rsid w:val="002C5C2A"/>
    <w:rsid w:val="002C7F19"/>
    <w:rsid w:val="002D035D"/>
    <w:rsid w:val="002D1EE2"/>
    <w:rsid w:val="002D21C7"/>
    <w:rsid w:val="002D2570"/>
    <w:rsid w:val="002D258B"/>
    <w:rsid w:val="002D2AF6"/>
    <w:rsid w:val="002D6439"/>
    <w:rsid w:val="002E3787"/>
    <w:rsid w:val="002E5DDA"/>
    <w:rsid w:val="002E61A8"/>
    <w:rsid w:val="002E70CF"/>
    <w:rsid w:val="002E7411"/>
    <w:rsid w:val="002E764C"/>
    <w:rsid w:val="002E7F02"/>
    <w:rsid w:val="002F062E"/>
    <w:rsid w:val="002F18CE"/>
    <w:rsid w:val="002F2A2B"/>
    <w:rsid w:val="002F2CEA"/>
    <w:rsid w:val="002F37EF"/>
    <w:rsid w:val="002F6F35"/>
    <w:rsid w:val="00301FD4"/>
    <w:rsid w:val="003025B4"/>
    <w:rsid w:val="00304B90"/>
    <w:rsid w:val="00310B22"/>
    <w:rsid w:val="00312910"/>
    <w:rsid w:val="00312BAF"/>
    <w:rsid w:val="00312CCA"/>
    <w:rsid w:val="00317FC4"/>
    <w:rsid w:val="00320072"/>
    <w:rsid w:val="00320AFD"/>
    <w:rsid w:val="003210AE"/>
    <w:rsid w:val="00321785"/>
    <w:rsid w:val="00321E37"/>
    <w:rsid w:val="003222E7"/>
    <w:rsid w:val="0032344F"/>
    <w:rsid w:val="003259BE"/>
    <w:rsid w:val="00332622"/>
    <w:rsid w:val="00334AF3"/>
    <w:rsid w:val="00336BAA"/>
    <w:rsid w:val="00340073"/>
    <w:rsid w:val="00340AA6"/>
    <w:rsid w:val="00343FA8"/>
    <w:rsid w:val="00345B9B"/>
    <w:rsid w:val="003474DF"/>
    <w:rsid w:val="003516CF"/>
    <w:rsid w:val="003572BA"/>
    <w:rsid w:val="00357414"/>
    <w:rsid w:val="003578A8"/>
    <w:rsid w:val="00361EDB"/>
    <w:rsid w:val="0036460B"/>
    <w:rsid w:val="00365A7A"/>
    <w:rsid w:val="00374C6A"/>
    <w:rsid w:val="00375F8B"/>
    <w:rsid w:val="00375FF8"/>
    <w:rsid w:val="00376DC7"/>
    <w:rsid w:val="00381964"/>
    <w:rsid w:val="00383030"/>
    <w:rsid w:val="003832A9"/>
    <w:rsid w:val="003842ED"/>
    <w:rsid w:val="00384D64"/>
    <w:rsid w:val="00384F59"/>
    <w:rsid w:val="00385ADC"/>
    <w:rsid w:val="0038603D"/>
    <w:rsid w:val="00386146"/>
    <w:rsid w:val="00395021"/>
    <w:rsid w:val="00396F51"/>
    <w:rsid w:val="003A3D66"/>
    <w:rsid w:val="003A4674"/>
    <w:rsid w:val="003A47C4"/>
    <w:rsid w:val="003A50D8"/>
    <w:rsid w:val="003B2032"/>
    <w:rsid w:val="003B34A7"/>
    <w:rsid w:val="003B5C60"/>
    <w:rsid w:val="003B62BF"/>
    <w:rsid w:val="003C0C0C"/>
    <w:rsid w:val="003C48A2"/>
    <w:rsid w:val="003C5726"/>
    <w:rsid w:val="003C57ED"/>
    <w:rsid w:val="003D14CC"/>
    <w:rsid w:val="003D1A4C"/>
    <w:rsid w:val="003D3A87"/>
    <w:rsid w:val="003D6516"/>
    <w:rsid w:val="003D6F39"/>
    <w:rsid w:val="003D7013"/>
    <w:rsid w:val="003E1ADF"/>
    <w:rsid w:val="003E2377"/>
    <w:rsid w:val="003E563B"/>
    <w:rsid w:val="003E572F"/>
    <w:rsid w:val="003E5BC8"/>
    <w:rsid w:val="003E77B9"/>
    <w:rsid w:val="003E78B9"/>
    <w:rsid w:val="003F02F4"/>
    <w:rsid w:val="003F1AB5"/>
    <w:rsid w:val="003F1ABC"/>
    <w:rsid w:val="003F2762"/>
    <w:rsid w:val="003F2CFF"/>
    <w:rsid w:val="003F4190"/>
    <w:rsid w:val="003F6C91"/>
    <w:rsid w:val="00400647"/>
    <w:rsid w:val="00400C23"/>
    <w:rsid w:val="00401B5F"/>
    <w:rsid w:val="00401DA0"/>
    <w:rsid w:val="00404E03"/>
    <w:rsid w:val="004077AE"/>
    <w:rsid w:val="00413795"/>
    <w:rsid w:val="004139A7"/>
    <w:rsid w:val="0041484B"/>
    <w:rsid w:val="00414F23"/>
    <w:rsid w:val="00417D85"/>
    <w:rsid w:val="00420BF7"/>
    <w:rsid w:val="00422A90"/>
    <w:rsid w:val="0043223A"/>
    <w:rsid w:val="00432DC1"/>
    <w:rsid w:val="00436052"/>
    <w:rsid w:val="0043641E"/>
    <w:rsid w:val="004376D4"/>
    <w:rsid w:val="00440419"/>
    <w:rsid w:val="004409FD"/>
    <w:rsid w:val="0044158E"/>
    <w:rsid w:val="00441702"/>
    <w:rsid w:val="00443556"/>
    <w:rsid w:val="00445B7C"/>
    <w:rsid w:val="0045163B"/>
    <w:rsid w:val="00452052"/>
    <w:rsid w:val="004523BF"/>
    <w:rsid w:val="00452632"/>
    <w:rsid w:val="00454E00"/>
    <w:rsid w:val="0045641E"/>
    <w:rsid w:val="004620D5"/>
    <w:rsid w:val="00464AE3"/>
    <w:rsid w:val="00471191"/>
    <w:rsid w:val="00471504"/>
    <w:rsid w:val="00472357"/>
    <w:rsid w:val="004730EB"/>
    <w:rsid w:val="00474052"/>
    <w:rsid w:val="0047430F"/>
    <w:rsid w:val="00474F23"/>
    <w:rsid w:val="00474F76"/>
    <w:rsid w:val="0047506F"/>
    <w:rsid w:val="00475344"/>
    <w:rsid w:val="00475FC9"/>
    <w:rsid w:val="004805F2"/>
    <w:rsid w:val="004813CC"/>
    <w:rsid w:val="0048249B"/>
    <w:rsid w:val="00486414"/>
    <w:rsid w:val="004924D9"/>
    <w:rsid w:val="00493A87"/>
    <w:rsid w:val="00493ACC"/>
    <w:rsid w:val="004950A9"/>
    <w:rsid w:val="00495B05"/>
    <w:rsid w:val="004A0B72"/>
    <w:rsid w:val="004A0D3A"/>
    <w:rsid w:val="004A1ED9"/>
    <w:rsid w:val="004A353A"/>
    <w:rsid w:val="004A36FE"/>
    <w:rsid w:val="004A7D12"/>
    <w:rsid w:val="004B0F09"/>
    <w:rsid w:val="004B4896"/>
    <w:rsid w:val="004B6418"/>
    <w:rsid w:val="004B6F99"/>
    <w:rsid w:val="004C126E"/>
    <w:rsid w:val="004C1A94"/>
    <w:rsid w:val="004C3512"/>
    <w:rsid w:val="004C5539"/>
    <w:rsid w:val="004D0648"/>
    <w:rsid w:val="004D0B9A"/>
    <w:rsid w:val="004D10D8"/>
    <w:rsid w:val="004D2080"/>
    <w:rsid w:val="004D4D4E"/>
    <w:rsid w:val="004D5687"/>
    <w:rsid w:val="004D5EF9"/>
    <w:rsid w:val="004D7473"/>
    <w:rsid w:val="004E16D6"/>
    <w:rsid w:val="004E2053"/>
    <w:rsid w:val="004E5111"/>
    <w:rsid w:val="004E5D05"/>
    <w:rsid w:val="004E6163"/>
    <w:rsid w:val="004F32DC"/>
    <w:rsid w:val="004F6B52"/>
    <w:rsid w:val="0050308E"/>
    <w:rsid w:val="00504844"/>
    <w:rsid w:val="00506657"/>
    <w:rsid w:val="005066D9"/>
    <w:rsid w:val="005067D7"/>
    <w:rsid w:val="0051024C"/>
    <w:rsid w:val="00510976"/>
    <w:rsid w:val="00514416"/>
    <w:rsid w:val="0051723A"/>
    <w:rsid w:val="0052093F"/>
    <w:rsid w:val="005258BA"/>
    <w:rsid w:val="0052594F"/>
    <w:rsid w:val="0052677B"/>
    <w:rsid w:val="00526B83"/>
    <w:rsid w:val="0052789A"/>
    <w:rsid w:val="00527DDB"/>
    <w:rsid w:val="005318ED"/>
    <w:rsid w:val="0053344D"/>
    <w:rsid w:val="00536390"/>
    <w:rsid w:val="00550670"/>
    <w:rsid w:val="00551636"/>
    <w:rsid w:val="00552E16"/>
    <w:rsid w:val="00555B08"/>
    <w:rsid w:val="005562AA"/>
    <w:rsid w:val="00557277"/>
    <w:rsid w:val="00557D07"/>
    <w:rsid w:val="0056047D"/>
    <w:rsid w:val="00565216"/>
    <w:rsid w:val="005661B3"/>
    <w:rsid w:val="00570EDF"/>
    <w:rsid w:val="005732FC"/>
    <w:rsid w:val="00576B74"/>
    <w:rsid w:val="005801C3"/>
    <w:rsid w:val="005809DA"/>
    <w:rsid w:val="00583FD8"/>
    <w:rsid w:val="005847BE"/>
    <w:rsid w:val="00592199"/>
    <w:rsid w:val="00594432"/>
    <w:rsid w:val="00596C1B"/>
    <w:rsid w:val="00597BA8"/>
    <w:rsid w:val="00597C6C"/>
    <w:rsid w:val="00597D04"/>
    <w:rsid w:val="005A0D10"/>
    <w:rsid w:val="005A130E"/>
    <w:rsid w:val="005A6138"/>
    <w:rsid w:val="005A6218"/>
    <w:rsid w:val="005A63ED"/>
    <w:rsid w:val="005B0A38"/>
    <w:rsid w:val="005B1328"/>
    <w:rsid w:val="005C2D40"/>
    <w:rsid w:val="005C3CB7"/>
    <w:rsid w:val="005C7878"/>
    <w:rsid w:val="005C79CB"/>
    <w:rsid w:val="005C7AC0"/>
    <w:rsid w:val="005D012F"/>
    <w:rsid w:val="005D0C4A"/>
    <w:rsid w:val="005D2836"/>
    <w:rsid w:val="005D2972"/>
    <w:rsid w:val="005D3E80"/>
    <w:rsid w:val="005D5DDD"/>
    <w:rsid w:val="005D6227"/>
    <w:rsid w:val="005D66D3"/>
    <w:rsid w:val="005D6B2C"/>
    <w:rsid w:val="005E1F38"/>
    <w:rsid w:val="005E343E"/>
    <w:rsid w:val="005E63FC"/>
    <w:rsid w:val="00600AEE"/>
    <w:rsid w:val="00600F64"/>
    <w:rsid w:val="0060309E"/>
    <w:rsid w:val="00604475"/>
    <w:rsid w:val="0061040C"/>
    <w:rsid w:val="00614C8B"/>
    <w:rsid w:val="00617ADC"/>
    <w:rsid w:val="0062005B"/>
    <w:rsid w:val="00621CDF"/>
    <w:rsid w:val="006240F6"/>
    <w:rsid w:val="00624E69"/>
    <w:rsid w:val="0062657E"/>
    <w:rsid w:val="0062670A"/>
    <w:rsid w:val="00627A57"/>
    <w:rsid w:val="00630884"/>
    <w:rsid w:val="00632412"/>
    <w:rsid w:val="00633195"/>
    <w:rsid w:val="006342B2"/>
    <w:rsid w:val="0063455C"/>
    <w:rsid w:val="00634E4F"/>
    <w:rsid w:val="00636672"/>
    <w:rsid w:val="0064111F"/>
    <w:rsid w:val="006441CF"/>
    <w:rsid w:val="00644880"/>
    <w:rsid w:val="00646471"/>
    <w:rsid w:val="0064712D"/>
    <w:rsid w:val="0064726A"/>
    <w:rsid w:val="00651DC0"/>
    <w:rsid w:val="00652544"/>
    <w:rsid w:val="00655AB5"/>
    <w:rsid w:val="00656318"/>
    <w:rsid w:val="0066081C"/>
    <w:rsid w:val="00660F88"/>
    <w:rsid w:val="0067081E"/>
    <w:rsid w:val="006720D1"/>
    <w:rsid w:val="0067235C"/>
    <w:rsid w:val="0067352E"/>
    <w:rsid w:val="00673587"/>
    <w:rsid w:val="0067712A"/>
    <w:rsid w:val="00681A94"/>
    <w:rsid w:val="00682B00"/>
    <w:rsid w:val="006844A8"/>
    <w:rsid w:val="00686822"/>
    <w:rsid w:val="00686FD2"/>
    <w:rsid w:val="00693946"/>
    <w:rsid w:val="006949F2"/>
    <w:rsid w:val="00694BB1"/>
    <w:rsid w:val="00695B23"/>
    <w:rsid w:val="00697C3C"/>
    <w:rsid w:val="006A2BCE"/>
    <w:rsid w:val="006A2BEE"/>
    <w:rsid w:val="006A4625"/>
    <w:rsid w:val="006A60AB"/>
    <w:rsid w:val="006B128C"/>
    <w:rsid w:val="006C32C3"/>
    <w:rsid w:val="006D34E7"/>
    <w:rsid w:val="006D50C2"/>
    <w:rsid w:val="006D6957"/>
    <w:rsid w:val="006D7C05"/>
    <w:rsid w:val="006E065A"/>
    <w:rsid w:val="006E3D22"/>
    <w:rsid w:val="006E5FB8"/>
    <w:rsid w:val="006F06E0"/>
    <w:rsid w:val="006F2CBA"/>
    <w:rsid w:val="006F34A7"/>
    <w:rsid w:val="006F3E54"/>
    <w:rsid w:val="006F4BE1"/>
    <w:rsid w:val="006F5BBD"/>
    <w:rsid w:val="006F5E9D"/>
    <w:rsid w:val="006F5FAE"/>
    <w:rsid w:val="006F670F"/>
    <w:rsid w:val="00704555"/>
    <w:rsid w:val="00704720"/>
    <w:rsid w:val="007059F3"/>
    <w:rsid w:val="00714D17"/>
    <w:rsid w:val="00721642"/>
    <w:rsid w:val="00722914"/>
    <w:rsid w:val="00722C0C"/>
    <w:rsid w:val="007234B2"/>
    <w:rsid w:val="00724085"/>
    <w:rsid w:val="007251C3"/>
    <w:rsid w:val="00727B87"/>
    <w:rsid w:val="00731BF3"/>
    <w:rsid w:val="00734EDB"/>
    <w:rsid w:val="00737282"/>
    <w:rsid w:val="007378FF"/>
    <w:rsid w:val="00744677"/>
    <w:rsid w:val="0075032E"/>
    <w:rsid w:val="00751F2F"/>
    <w:rsid w:val="0075246D"/>
    <w:rsid w:val="0075603E"/>
    <w:rsid w:val="007562C6"/>
    <w:rsid w:val="007622AF"/>
    <w:rsid w:val="00763DB2"/>
    <w:rsid w:val="00765C41"/>
    <w:rsid w:val="00766012"/>
    <w:rsid w:val="007703BC"/>
    <w:rsid w:val="00771240"/>
    <w:rsid w:val="00772C10"/>
    <w:rsid w:val="007760A6"/>
    <w:rsid w:val="007846AB"/>
    <w:rsid w:val="007855CF"/>
    <w:rsid w:val="00794347"/>
    <w:rsid w:val="007965CD"/>
    <w:rsid w:val="007A002C"/>
    <w:rsid w:val="007A1FBC"/>
    <w:rsid w:val="007A3B60"/>
    <w:rsid w:val="007A5AAC"/>
    <w:rsid w:val="007A5D94"/>
    <w:rsid w:val="007A6953"/>
    <w:rsid w:val="007A7918"/>
    <w:rsid w:val="007B7B56"/>
    <w:rsid w:val="007C3410"/>
    <w:rsid w:val="007C4432"/>
    <w:rsid w:val="007C461A"/>
    <w:rsid w:val="007C721C"/>
    <w:rsid w:val="007D028C"/>
    <w:rsid w:val="007D31BA"/>
    <w:rsid w:val="007D3DF0"/>
    <w:rsid w:val="007D4C0B"/>
    <w:rsid w:val="007D4F24"/>
    <w:rsid w:val="007D6D93"/>
    <w:rsid w:val="007D7966"/>
    <w:rsid w:val="007E3FBA"/>
    <w:rsid w:val="007E48A2"/>
    <w:rsid w:val="007E4AB5"/>
    <w:rsid w:val="007E4E2F"/>
    <w:rsid w:val="007E4E61"/>
    <w:rsid w:val="007F05B8"/>
    <w:rsid w:val="007F0EAC"/>
    <w:rsid w:val="007F2325"/>
    <w:rsid w:val="007F31B2"/>
    <w:rsid w:val="007F7C94"/>
    <w:rsid w:val="00801A2B"/>
    <w:rsid w:val="008027A0"/>
    <w:rsid w:val="008030A4"/>
    <w:rsid w:val="008056F9"/>
    <w:rsid w:val="008065D3"/>
    <w:rsid w:val="008117F8"/>
    <w:rsid w:val="00814AF9"/>
    <w:rsid w:val="00814E94"/>
    <w:rsid w:val="00824CC3"/>
    <w:rsid w:val="0082724F"/>
    <w:rsid w:val="00831671"/>
    <w:rsid w:val="0083193D"/>
    <w:rsid w:val="00833FA7"/>
    <w:rsid w:val="00834B81"/>
    <w:rsid w:val="00834EB9"/>
    <w:rsid w:val="008416F6"/>
    <w:rsid w:val="00841C78"/>
    <w:rsid w:val="0084356F"/>
    <w:rsid w:val="00843D75"/>
    <w:rsid w:val="00843F35"/>
    <w:rsid w:val="00845C66"/>
    <w:rsid w:val="00850B99"/>
    <w:rsid w:val="008514A7"/>
    <w:rsid w:val="00853906"/>
    <w:rsid w:val="00854DA8"/>
    <w:rsid w:val="008601CD"/>
    <w:rsid w:val="00860DBA"/>
    <w:rsid w:val="0086493E"/>
    <w:rsid w:val="00870C66"/>
    <w:rsid w:val="00881FCE"/>
    <w:rsid w:val="00883B77"/>
    <w:rsid w:val="00884CD6"/>
    <w:rsid w:val="008944D7"/>
    <w:rsid w:val="00896CBD"/>
    <w:rsid w:val="008A056F"/>
    <w:rsid w:val="008A5B4E"/>
    <w:rsid w:val="008A7A65"/>
    <w:rsid w:val="008B34DE"/>
    <w:rsid w:val="008B3C28"/>
    <w:rsid w:val="008B7C0A"/>
    <w:rsid w:val="008C4CF8"/>
    <w:rsid w:val="008C4E66"/>
    <w:rsid w:val="008D1DF0"/>
    <w:rsid w:val="008D46C9"/>
    <w:rsid w:val="008D77CE"/>
    <w:rsid w:val="008E168F"/>
    <w:rsid w:val="008E59CF"/>
    <w:rsid w:val="008E7D9C"/>
    <w:rsid w:val="008F005A"/>
    <w:rsid w:val="008F7BD8"/>
    <w:rsid w:val="009014F3"/>
    <w:rsid w:val="00902158"/>
    <w:rsid w:val="00905433"/>
    <w:rsid w:val="00906D34"/>
    <w:rsid w:val="009072A9"/>
    <w:rsid w:val="009129D1"/>
    <w:rsid w:val="0091383F"/>
    <w:rsid w:val="009142B4"/>
    <w:rsid w:val="009155D1"/>
    <w:rsid w:val="00915A4A"/>
    <w:rsid w:val="00916145"/>
    <w:rsid w:val="00917473"/>
    <w:rsid w:val="00920ADA"/>
    <w:rsid w:val="009213E7"/>
    <w:rsid w:val="00923264"/>
    <w:rsid w:val="00927CBA"/>
    <w:rsid w:val="00932038"/>
    <w:rsid w:val="00932F03"/>
    <w:rsid w:val="0093443B"/>
    <w:rsid w:val="00935C5E"/>
    <w:rsid w:val="00936746"/>
    <w:rsid w:val="00941E77"/>
    <w:rsid w:val="00942918"/>
    <w:rsid w:val="00943B37"/>
    <w:rsid w:val="0094650A"/>
    <w:rsid w:val="00950D8B"/>
    <w:rsid w:val="0095422D"/>
    <w:rsid w:val="00957368"/>
    <w:rsid w:val="00957A2E"/>
    <w:rsid w:val="00962C57"/>
    <w:rsid w:val="0097077F"/>
    <w:rsid w:val="00970ADD"/>
    <w:rsid w:val="00971E11"/>
    <w:rsid w:val="0097271C"/>
    <w:rsid w:val="009746F7"/>
    <w:rsid w:val="0097637A"/>
    <w:rsid w:val="00976FAA"/>
    <w:rsid w:val="009827A1"/>
    <w:rsid w:val="00990084"/>
    <w:rsid w:val="009911AA"/>
    <w:rsid w:val="009945A1"/>
    <w:rsid w:val="009A07B3"/>
    <w:rsid w:val="009A2EC6"/>
    <w:rsid w:val="009A478C"/>
    <w:rsid w:val="009A5391"/>
    <w:rsid w:val="009B0A3A"/>
    <w:rsid w:val="009B29C0"/>
    <w:rsid w:val="009B2CA7"/>
    <w:rsid w:val="009B4DC9"/>
    <w:rsid w:val="009B696D"/>
    <w:rsid w:val="009B6C67"/>
    <w:rsid w:val="009C0063"/>
    <w:rsid w:val="009C2035"/>
    <w:rsid w:val="009C27AB"/>
    <w:rsid w:val="009C290D"/>
    <w:rsid w:val="009C40E7"/>
    <w:rsid w:val="009C5669"/>
    <w:rsid w:val="009C568B"/>
    <w:rsid w:val="009D3046"/>
    <w:rsid w:val="009D4784"/>
    <w:rsid w:val="009D5C4D"/>
    <w:rsid w:val="009E00CC"/>
    <w:rsid w:val="009E173A"/>
    <w:rsid w:val="009E3F8B"/>
    <w:rsid w:val="009E6ADD"/>
    <w:rsid w:val="009F11FF"/>
    <w:rsid w:val="009F16F4"/>
    <w:rsid w:val="009F2E97"/>
    <w:rsid w:val="009F3A48"/>
    <w:rsid w:val="009F4C5D"/>
    <w:rsid w:val="009F5C3E"/>
    <w:rsid w:val="009F72E3"/>
    <w:rsid w:val="00A0176F"/>
    <w:rsid w:val="00A02285"/>
    <w:rsid w:val="00A04548"/>
    <w:rsid w:val="00A04D1C"/>
    <w:rsid w:val="00A04E62"/>
    <w:rsid w:val="00A0602B"/>
    <w:rsid w:val="00A132AA"/>
    <w:rsid w:val="00A133A0"/>
    <w:rsid w:val="00A1490E"/>
    <w:rsid w:val="00A159FD"/>
    <w:rsid w:val="00A21C33"/>
    <w:rsid w:val="00A239D0"/>
    <w:rsid w:val="00A23B25"/>
    <w:rsid w:val="00A23E32"/>
    <w:rsid w:val="00A35157"/>
    <w:rsid w:val="00A355D5"/>
    <w:rsid w:val="00A361AB"/>
    <w:rsid w:val="00A373D4"/>
    <w:rsid w:val="00A422C3"/>
    <w:rsid w:val="00A43193"/>
    <w:rsid w:val="00A51C82"/>
    <w:rsid w:val="00A535E6"/>
    <w:rsid w:val="00A56B48"/>
    <w:rsid w:val="00A5749E"/>
    <w:rsid w:val="00A608C7"/>
    <w:rsid w:val="00A6244A"/>
    <w:rsid w:val="00A708A5"/>
    <w:rsid w:val="00A70EB0"/>
    <w:rsid w:val="00A7157E"/>
    <w:rsid w:val="00A72260"/>
    <w:rsid w:val="00A73740"/>
    <w:rsid w:val="00A74420"/>
    <w:rsid w:val="00A76973"/>
    <w:rsid w:val="00A773B6"/>
    <w:rsid w:val="00A84D90"/>
    <w:rsid w:val="00A86D44"/>
    <w:rsid w:val="00A90E68"/>
    <w:rsid w:val="00A95710"/>
    <w:rsid w:val="00A96655"/>
    <w:rsid w:val="00A9728B"/>
    <w:rsid w:val="00AA090A"/>
    <w:rsid w:val="00AA1E16"/>
    <w:rsid w:val="00AA67BA"/>
    <w:rsid w:val="00AA7896"/>
    <w:rsid w:val="00AB370F"/>
    <w:rsid w:val="00AB3B5F"/>
    <w:rsid w:val="00AB4886"/>
    <w:rsid w:val="00AC1EF6"/>
    <w:rsid w:val="00AC631E"/>
    <w:rsid w:val="00AD398B"/>
    <w:rsid w:val="00AD461B"/>
    <w:rsid w:val="00AD5060"/>
    <w:rsid w:val="00AD7059"/>
    <w:rsid w:val="00AE2992"/>
    <w:rsid w:val="00AE3592"/>
    <w:rsid w:val="00AE5D7F"/>
    <w:rsid w:val="00AE7DA5"/>
    <w:rsid w:val="00AF2FD6"/>
    <w:rsid w:val="00AF5F63"/>
    <w:rsid w:val="00AF6787"/>
    <w:rsid w:val="00B0518B"/>
    <w:rsid w:val="00B0683A"/>
    <w:rsid w:val="00B079D2"/>
    <w:rsid w:val="00B13A07"/>
    <w:rsid w:val="00B14C35"/>
    <w:rsid w:val="00B16ABF"/>
    <w:rsid w:val="00B249DC"/>
    <w:rsid w:val="00B2510A"/>
    <w:rsid w:val="00B27C89"/>
    <w:rsid w:val="00B30A90"/>
    <w:rsid w:val="00B30F6A"/>
    <w:rsid w:val="00B32059"/>
    <w:rsid w:val="00B414F6"/>
    <w:rsid w:val="00B41A47"/>
    <w:rsid w:val="00B4241C"/>
    <w:rsid w:val="00B4276F"/>
    <w:rsid w:val="00B42EA0"/>
    <w:rsid w:val="00B43485"/>
    <w:rsid w:val="00B4410E"/>
    <w:rsid w:val="00B51A79"/>
    <w:rsid w:val="00B53E17"/>
    <w:rsid w:val="00B54091"/>
    <w:rsid w:val="00B551E6"/>
    <w:rsid w:val="00B55DDA"/>
    <w:rsid w:val="00B5608F"/>
    <w:rsid w:val="00B63D3B"/>
    <w:rsid w:val="00B64F09"/>
    <w:rsid w:val="00B65133"/>
    <w:rsid w:val="00B66577"/>
    <w:rsid w:val="00B70409"/>
    <w:rsid w:val="00B72EDE"/>
    <w:rsid w:val="00B731AD"/>
    <w:rsid w:val="00B77467"/>
    <w:rsid w:val="00B8665B"/>
    <w:rsid w:val="00B87B67"/>
    <w:rsid w:val="00B916DD"/>
    <w:rsid w:val="00B96242"/>
    <w:rsid w:val="00B97846"/>
    <w:rsid w:val="00BA3F0E"/>
    <w:rsid w:val="00BA53A7"/>
    <w:rsid w:val="00BA6023"/>
    <w:rsid w:val="00BA60A5"/>
    <w:rsid w:val="00BA6A22"/>
    <w:rsid w:val="00BA7BA2"/>
    <w:rsid w:val="00BB5587"/>
    <w:rsid w:val="00BB59D2"/>
    <w:rsid w:val="00BC0DAB"/>
    <w:rsid w:val="00BC1606"/>
    <w:rsid w:val="00BC1935"/>
    <w:rsid w:val="00BC3A03"/>
    <w:rsid w:val="00BC47AD"/>
    <w:rsid w:val="00BD277D"/>
    <w:rsid w:val="00BD4F46"/>
    <w:rsid w:val="00BE274D"/>
    <w:rsid w:val="00BE3CE6"/>
    <w:rsid w:val="00BE4758"/>
    <w:rsid w:val="00BE53E7"/>
    <w:rsid w:val="00BE70AD"/>
    <w:rsid w:val="00BE7C79"/>
    <w:rsid w:val="00BF42F7"/>
    <w:rsid w:val="00BF730F"/>
    <w:rsid w:val="00BF758A"/>
    <w:rsid w:val="00C00BAD"/>
    <w:rsid w:val="00C03B24"/>
    <w:rsid w:val="00C0470C"/>
    <w:rsid w:val="00C05347"/>
    <w:rsid w:val="00C06F95"/>
    <w:rsid w:val="00C1681B"/>
    <w:rsid w:val="00C213E4"/>
    <w:rsid w:val="00C21D07"/>
    <w:rsid w:val="00C25DDE"/>
    <w:rsid w:val="00C2640C"/>
    <w:rsid w:val="00C27E17"/>
    <w:rsid w:val="00C3065B"/>
    <w:rsid w:val="00C31189"/>
    <w:rsid w:val="00C356FE"/>
    <w:rsid w:val="00C402EA"/>
    <w:rsid w:val="00C4048A"/>
    <w:rsid w:val="00C415E1"/>
    <w:rsid w:val="00C428B7"/>
    <w:rsid w:val="00C45CD2"/>
    <w:rsid w:val="00C47EBF"/>
    <w:rsid w:val="00C52AC7"/>
    <w:rsid w:val="00C5493B"/>
    <w:rsid w:val="00C57084"/>
    <w:rsid w:val="00C62EA0"/>
    <w:rsid w:val="00C632DC"/>
    <w:rsid w:val="00C63FF4"/>
    <w:rsid w:val="00C64EB2"/>
    <w:rsid w:val="00C72004"/>
    <w:rsid w:val="00C77690"/>
    <w:rsid w:val="00C812EB"/>
    <w:rsid w:val="00C81FD0"/>
    <w:rsid w:val="00C90045"/>
    <w:rsid w:val="00C92163"/>
    <w:rsid w:val="00C93A9F"/>
    <w:rsid w:val="00C9662B"/>
    <w:rsid w:val="00C97BD6"/>
    <w:rsid w:val="00CA1287"/>
    <w:rsid w:val="00CA1686"/>
    <w:rsid w:val="00CA2026"/>
    <w:rsid w:val="00CA597A"/>
    <w:rsid w:val="00CB42BB"/>
    <w:rsid w:val="00CB7FA5"/>
    <w:rsid w:val="00CC2580"/>
    <w:rsid w:val="00CC304F"/>
    <w:rsid w:val="00CC48AC"/>
    <w:rsid w:val="00CC4A77"/>
    <w:rsid w:val="00CC62E8"/>
    <w:rsid w:val="00CD0C3B"/>
    <w:rsid w:val="00CD1DDD"/>
    <w:rsid w:val="00CD2906"/>
    <w:rsid w:val="00CD3398"/>
    <w:rsid w:val="00CD5806"/>
    <w:rsid w:val="00CD7BB5"/>
    <w:rsid w:val="00CD7D4A"/>
    <w:rsid w:val="00CE097C"/>
    <w:rsid w:val="00CE1356"/>
    <w:rsid w:val="00CE3A74"/>
    <w:rsid w:val="00CF12AF"/>
    <w:rsid w:val="00CF3F77"/>
    <w:rsid w:val="00CF48D8"/>
    <w:rsid w:val="00CF4A8F"/>
    <w:rsid w:val="00D008CE"/>
    <w:rsid w:val="00D00B9D"/>
    <w:rsid w:val="00D10CDB"/>
    <w:rsid w:val="00D13761"/>
    <w:rsid w:val="00D142BC"/>
    <w:rsid w:val="00D20AE9"/>
    <w:rsid w:val="00D2208F"/>
    <w:rsid w:val="00D25D67"/>
    <w:rsid w:val="00D302C1"/>
    <w:rsid w:val="00D31BB9"/>
    <w:rsid w:val="00D32FEF"/>
    <w:rsid w:val="00D37D59"/>
    <w:rsid w:val="00D42497"/>
    <w:rsid w:val="00D448C8"/>
    <w:rsid w:val="00D454F5"/>
    <w:rsid w:val="00D46845"/>
    <w:rsid w:val="00D46A05"/>
    <w:rsid w:val="00D51066"/>
    <w:rsid w:val="00D55D23"/>
    <w:rsid w:val="00D60149"/>
    <w:rsid w:val="00D61129"/>
    <w:rsid w:val="00D65F1F"/>
    <w:rsid w:val="00D666EA"/>
    <w:rsid w:val="00D72676"/>
    <w:rsid w:val="00D73FD5"/>
    <w:rsid w:val="00D75BC2"/>
    <w:rsid w:val="00D86B46"/>
    <w:rsid w:val="00D90D2D"/>
    <w:rsid w:val="00D92DCB"/>
    <w:rsid w:val="00D9417C"/>
    <w:rsid w:val="00D942D6"/>
    <w:rsid w:val="00D94CA9"/>
    <w:rsid w:val="00D954D8"/>
    <w:rsid w:val="00D9671D"/>
    <w:rsid w:val="00DA144C"/>
    <w:rsid w:val="00DA1AC8"/>
    <w:rsid w:val="00DA2586"/>
    <w:rsid w:val="00DA2EBE"/>
    <w:rsid w:val="00DB156F"/>
    <w:rsid w:val="00DB1912"/>
    <w:rsid w:val="00DB4EE0"/>
    <w:rsid w:val="00DB5B9E"/>
    <w:rsid w:val="00DC189C"/>
    <w:rsid w:val="00DC210F"/>
    <w:rsid w:val="00DC4748"/>
    <w:rsid w:val="00DC6C01"/>
    <w:rsid w:val="00DC7B08"/>
    <w:rsid w:val="00DD4A35"/>
    <w:rsid w:val="00DE26E7"/>
    <w:rsid w:val="00DE312B"/>
    <w:rsid w:val="00DE609B"/>
    <w:rsid w:val="00DF1287"/>
    <w:rsid w:val="00DF2FF4"/>
    <w:rsid w:val="00E00D94"/>
    <w:rsid w:val="00E00FD2"/>
    <w:rsid w:val="00E01DD2"/>
    <w:rsid w:val="00E022C2"/>
    <w:rsid w:val="00E028C2"/>
    <w:rsid w:val="00E02A7A"/>
    <w:rsid w:val="00E030E4"/>
    <w:rsid w:val="00E039D0"/>
    <w:rsid w:val="00E051FC"/>
    <w:rsid w:val="00E05C22"/>
    <w:rsid w:val="00E06CF1"/>
    <w:rsid w:val="00E0714F"/>
    <w:rsid w:val="00E136E3"/>
    <w:rsid w:val="00E15D70"/>
    <w:rsid w:val="00E17A37"/>
    <w:rsid w:val="00E21D49"/>
    <w:rsid w:val="00E222F9"/>
    <w:rsid w:val="00E2509D"/>
    <w:rsid w:val="00E2664D"/>
    <w:rsid w:val="00E26E21"/>
    <w:rsid w:val="00E27CE9"/>
    <w:rsid w:val="00E30D6D"/>
    <w:rsid w:val="00E3125A"/>
    <w:rsid w:val="00E31714"/>
    <w:rsid w:val="00E33B40"/>
    <w:rsid w:val="00E354FA"/>
    <w:rsid w:val="00E35D84"/>
    <w:rsid w:val="00E402C8"/>
    <w:rsid w:val="00E42303"/>
    <w:rsid w:val="00E423CF"/>
    <w:rsid w:val="00E439A8"/>
    <w:rsid w:val="00E43C20"/>
    <w:rsid w:val="00E474B4"/>
    <w:rsid w:val="00E53B13"/>
    <w:rsid w:val="00E53CD6"/>
    <w:rsid w:val="00E53EAA"/>
    <w:rsid w:val="00E6087A"/>
    <w:rsid w:val="00E616B0"/>
    <w:rsid w:val="00E628E9"/>
    <w:rsid w:val="00E633D1"/>
    <w:rsid w:val="00E63521"/>
    <w:rsid w:val="00E659EF"/>
    <w:rsid w:val="00E67F9C"/>
    <w:rsid w:val="00E70E79"/>
    <w:rsid w:val="00E720F7"/>
    <w:rsid w:val="00E82241"/>
    <w:rsid w:val="00E8271E"/>
    <w:rsid w:val="00E829AB"/>
    <w:rsid w:val="00E84EC7"/>
    <w:rsid w:val="00E86AF6"/>
    <w:rsid w:val="00E9227E"/>
    <w:rsid w:val="00E93DA4"/>
    <w:rsid w:val="00E9477B"/>
    <w:rsid w:val="00E94F06"/>
    <w:rsid w:val="00E95261"/>
    <w:rsid w:val="00E9796F"/>
    <w:rsid w:val="00EA659D"/>
    <w:rsid w:val="00EA719C"/>
    <w:rsid w:val="00EB53AB"/>
    <w:rsid w:val="00EB744C"/>
    <w:rsid w:val="00EC4E14"/>
    <w:rsid w:val="00EC6812"/>
    <w:rsid w:val="00EC6D4D"/>
    <w:rsid w:val="00ED1C5A"/>
    <w:rsid w:val="00ED3953"/>
    <w:rsid w:val="00EE1547"/>
    <w:rsid w:val="00EE1B55"/>
    <w:rsid w:val="00EE1D70"/>
    <w:rsid w:val="00EE3DD6"/>
    <w:rsid w:val="00EE3FEB"/>
    <w:rsid w:val="00EE57C1"/>
    <w:rsid w:val="00EE658B"/>
    <w:rsid w:val="00EF082E"/>
    <w:rsid w:val="00EF090F"/>
    <w:rsid w:val="00EF19DC"/>
    <w:rsid w:val="00F03881"/>
    <w:rsid w:val="00F06800"/>
    <w:rsid w:val="00F07FCD"/>
    <w:rsid w:val="00F10063"/>
    <w:rsid w:val="00F131B7"/>
    <w:rsid w:val="00F15C60"/>
    <w:rsid w:val="00F25ED1"/>
    <w:rsid w:val="00F303B7"/>
    <w:rsid w:val="00F34646"/>
    <w:rsid w:val="00F35AC5"/>
    <w:rsid w:val="00F404A8"/>
    <w:rsid w:val="00F4359A"/>
    <w:rsid w:val="00F455C2"/>
    <w:rsid w:val="00F50B29"/>
    <w:rsid w:val="00F5376D"/>
    <w:rsid w:val="00F551C6"/>
    <w:rsid w:val="00F562C7"/>
    <w:rsid w:val="00F601D9"/>
    <w:rsid w:val="00F6074F"/>
    <w:rsid w:val="00F618C7"/>
    <w:rsid w:val="00F62A9C"/>
    <w:rsid w:val="00F638CD"/>
    <w:rsid w:val="00F63A23"/>
    <w:rsid w:val="00F64351"/>
    <w:rsid w:val="00F652E4"/>
    <w:rsid w:val="00F65488"/>
    <w:rsid w:val="00F716CC"/>
    <w:rsid w:val="00F74012"/>
    <w:rsid w:val="00F74030"/>
    <w:rsid w:val="00F7594D"/>
    <w:rsid w:val="00F77F88"/>
    <w:rsid w:val="00F8073D"/>
    <w:rsid w:val="00F80E19"/>
    <w:rsid w:val="00F815DA"/>
    <w:rsid w:val="00F827D7"/>
    <w:rsid w:val="00F844AA"/>
    <w:rsid w:val="00F84823"/>
    <w:rsid w:val="00F85B26"/>
    <w:rsid w:val="00F86412"/>
    <w:rsid w:val="00F87099"/>
    <w:rsid w:val="00F871E2"/>
    <w:rsid w:val="00F96FE8"/>
    <w:rsid w:val="00F970C0"/>
    <w:rsid w:val="00FA2C34"/>
    <w:rsid w:val="00FA72DC"/>
    <w:rsid w:val="00FB24D6"/>
    <w:rsid w:val="00FB298D"/>
    <w:rsid w:val="00FB3268"/>
    <w:rsid w:val="00FC044A"/>
    <w:rsid w:val="00FC1FE0"/>
    <w:rsid w:val="00FC202A"/>
    <w:rsid w:val="00FC7CB8"/>
    <w:rsid w:val="00FD19B6"/>
    <w:rsid w:val="00FD2087"/>
    <w:rsid w:val="00FD39CD"/>
    <w:rsid w:val="00FE2197"/>
    <w:rsid w:val="00FE6FD7"/>
    <w:rsid w:val="00FF01C5"/>
    <w:rsid w:val="00FF0AED"/>
    <w:rsid w:val="00FF0C07"/>
    <w:rsid w:val="00FF2E8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5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5F"/>
    <w:pPr>
      <w:ind w:left="720"/>
      <w:contextualSpacing/>
    </w:pPr>
  </w:style>
  <w:style w:type="table" w:styleId="a4">
    <w:name w:val="Table Grid"/>
    <w:basedOn w:val="a1"/>
    <w:uiPriority w:val="39"/>
    <w:rsid w:val="00AB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rsid w:val="00AB3B5F"/>
    <w:pPr>
      <w:widowControl w:val="0"/>
      <w:suppressAutoHyphens/>
      <w:spacing w:after="120" w:line="480" w:lineRule="auto"/>
    </w:pPr>
    <w:rPr>
      <w:rFonts w:ascii="Calibri" w:eastAsia="Arial Unicode MS" w:hAnsi="Calibri" w:cs="font298"/>
      <w:kern w:val="1"/>
      <w:lang w:eastAsia="ar-SA"/>
    </w:rPr>
  </w:style>
  <w:style w:type="paragraph" w:customStyle="1" w:styleId="24">
    <w:name w:val="Основной текст 24"/>
    <w:rsid w:val="00AB3B5F"/>
    <w:pPr>
      <w:widowControl w:val="0"/>
      <w:suppressAutoHyphens/>
      <w:spacing w:after="120" w:line="480" w:lineRule="auto"/>
    </w:pPr>
    <w:rPr>
      <w:rFonts w:ascii="Calibri" w:eastAsia="Arial Unicode MS" w:hAnsi="Calibri" w:cs="font19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5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5F"/>
    <w:pPr>
      <w:ind w:left="720"/>
      <w:contextualSpacing/>
    </w:pPr>
  </w:style>
  <w:style w:type="table" w:styleId="a4">
    <w:name w:val="Table Grid"/>
    <w:basedOn w:val="a1"/>
    <w:uiPriority w:val="39"/>
    <w:rsid w:val="00AB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rsid w:val="00AB3B5F"/>
    <w:pPr>
      <w:widowControl w:val="0"/>
      <w:suppressAutoHyphens/>
      <w:spacing w:after="120" w:line="480" w:lineRule="auto"/>
    </w:pPr>
    <w:rPr>
      <w:rFonts w:ascii="Calibri" w:eastAsia="Arial Unicode MS" w:hAnsi="Calibri" w:cs="font298"/>
      <w:kern w:val="1"/>
      <w:lang w:eastAsia="ar-SA"/>
    </w:rPr>
  </w:style>
  <w:style w:type="paragraph" w:customStyle="1" w:styleId="24">
    <w:name w:val="Основной текст 24"/>
    <w:rsid w:val="00AB3B5F"/>
    <w:pPr>
      <w:widowControl w:val="0"/>
      <w:suppressAutoHyphens/>
      <w:spacing w:after="120" w:line="480" w:lineRule="auto"/>
    </w:pPr>
    <w:rPr>
      <w:rFonts w:ascii="Calibri" w:eastAsia="Arial Unicode MS" w:hAnsi="Calibri" w:cs="font19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КАФЕДРА</cp:lastModifiedBy>
  <cp:revision>4</cp:revision>
  <cp:lastPrinted>2017-11-24T06:24:00Z</cp:lastPrinted>
  <dcterms:created xsi:type="dcterms:W3CDTF">2017-11-24T07:38:00Z</dcterms:created>
  <dcterms:modified xsi:type="dcterms:W3CDTF">2017-11-27T09:42:00Z</dcterms:modified>
</cp:coreProperties>
</file>